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jc w:val="center"/>
        <w:tblCellMar>
          <w:left w:w="0" w:type="dxa"/>
          <w:right w:w="0" w:type="dxa"/>
        </w:tblCellMar>
        <w:tblLook w:val="04A0" w:firstRow="1" w:lastRow="0" w:firstColumn="1" w:lastColumn="0" w:noHBand="0" w:noVBand="1"/>
      </w:tblPr>
      <w:tblGrid>
        <w:gridCol w:w="9023"/>
      </w:tblGrid>
      <w:tr w:rsidR="00767EF4" w:rsidRPr="00767EF4" w:rsidTr="00767EF4">
        <w:trPr>
          <w:jc w:val="center"/>
        </w:trPr>
        <w:tc>
          <w:tcPr>
            <w:tcW w:w="0" w:type="auto"/>
            <w:tcBorders>
              <w:top w:val="single" w:sz="2" w:space="0" w:color="199DBB"/>
              <w:left w:val="single" w:sz="2" w:space="0" w:color="199DBB"/>
              <w:bottom w:val="single" w:sz="2" w:space="0" w:color="199DBB"/>
              <w:right w:val="single" w:sz="2" w:space="0" w:color="199DBB"/>
            </w:tcBorders>
            <w:shd w:val="clear" w:color="auto" w:fill="FEFEFE"/>
          </w:tcPr>
          <w:tbl>
            <w:tblPr>
              <w:tblW w:w="5000" w:type="pct"/>
              <w:jc w:val="center"/>
              <w:tblCellMar>
                <w:left w:w="0" w:type="dxa"/>
                <w:right w:w="0" w:type="dxa"/>
              </w:tblCellMar>
              <w:tblLook w:val="04A0" w:firstRow="1" w:lastRow="0" w:firstColumn="1" w:lastColumn="0" w:noHBand="0" w:noVBand="1"/>
            </w:tblPr>
            <w:tblGrid>
              <w:gridCol w:w="4818"/>
              <w:gridCol w:w="4200"/>
            </w:tblGrid>
            <w:tr w:rsidR="00767EF4" w:rsidRPr="00767EF4">
              <w:trPr>
                <w:jc w:val="center"/>
              </w:trPr>
              <w:tc>
                <w:tcPr>
                  <w:tcW w:w="0" w:type="auto"/>
                  <w:tcMar>
                    <w:top w:w="150" w:type="dxa"/>
                    <w:left w:w="0" w:type="dxa"/>
                    <w:bottom w:w="0" w:type="dxa"/>
                    <w:right w:w="300" w:type="dxa"/>
                  </w:tcMar>
                  <w:hideMark/>
                </w:tcPr>
                <w:tbl>
                  <w:tblPr>
                    <w:tblW w:w="4200" w:type="dxa"/>
                    <w:jc w:val="center"/>
                    <w:tblCellMar>
                      <w:left w:w="0" w:type="dxa"/>
                      <w:right w:w="0" w:type="dxa"/>
                    </w:tblCellMar>
                    <w:tblLook w:val="04A0" w:firstRow="1" w:lastRow="0" w:firstColumn="1" w:lastColumn="0" w:noHBand="0" w:noVBand="1"/>
                  </w:tblPr>
                  <w:tblGrid>
                    <w:gridCol w:w="4512"/>
                    <w:gridCol w:w="6"/>
                  </w:tblGrid>
                  <w:tr w:rsidR="00767EF4" w:rsidRPr="00767EF4">
                    <w:trPr>
                      <w:jc w:val="center"/>
                    </w:trPr>
                    <w:tc>
                      <w:tcPr>
                        <w:tcW w:w="0" w:type="auto"/>
                        <w:tcMar>
                          <w:top w:w="150" w:type="dxa"/>
                          <w:left w:w="150" w:type="dxa"/>
                          <w:bottom w:w="150" w:type="dxa"/>
                          <w:right w:w="150" w:type="dxa"/>
                        </w:tcMar>
                        <w:hideMark/>
                      </w:tcPr>
                      <w:p w:rsidR="00767EF4" w:rsidRPr="00767EF4" w:rsidRDefault="00767EF4" w:rsidP="00767EF4">
                        <w:r w:rsidRPr="00767EF4">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7620" cy="7620"/>
                              <wp:effectExtent l="0" t="0" r="0" b="0"/>
                              <wp:wrapSquare wrapText="bothSides"/>
                              <wp:docPr id="12" name="Picture 12" descr="http://communications.saimm-mail.com/s/r/33595/223237/65918484.gif?m=IVtTgjqvSfP9lKX3&amp;h=ca7580e5196222daf37a3c1bd2e3a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cations.saimm-mail.com/s/r/33595/223237/65918484.gif?m=IVtTgjqvSfP9lKX3&amp;h=ca7580e5196222daf37a3c1bd2e3ace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sidRPr="00767EF4">
                          <w:drawing>
                            <wp:inline distT="0" distB="0" distL="0" distR="0">
                              <wp:extent cx="2674620" cy="792480"/>
                              <wp:effectExtent l="0" t="0" r="0" b="7620"/>
                              <wp:docPr id="11" name="Picture 11" descr="SAIMM-General-Logo(large).jpg">
                                <a:hlinkClick xmlns:a="http://schemas.openxmlformats.org/drawingml/2006/main" r:id="rId6" tgtFrame="_blank" tooltip="SAIMM-General-Logo(large).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AIMM-General-Logo(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620" cy="792480"/>
                                      </a:xfrm>
                                      <a:prstGeom prst="rect">
                                        <a:avLst/>
                                      </a:prstGeom>
                                      <a:noFill/>
                                      <a:ln>
                                        <a:noFill/>
                                      </a:ln>
                                    </pic:spPr>
                                  </pic:pic>
                                </a:graphicData>
                              </a:graphic>
                            </wp:inline>
                          </w:drawing>
                        </w:r>
                      </w:p>
                    </w:tc>
                    <w:tc>
                      <w:tcPr>
                        <w:tcW w:w="6" w:type="dxa"/>
                        <w:hideMark/>
                      </w:tcPr>
                      <w:p w:rsidR="00767EF4" w:rsidRPr="00767EF4" w:rsidRDefault="00767EF4" w:rsidP="00767EF4"/>
                    </w:tc>
                  </w:tr>
                </w:tbl>
                <w:p w:rsidR="00767EF4" w:rsidRPr="00767EF4" w:rsidRDefault="00767EF4" w:rsidP="00767EF4"/>
              </w:tc>
              <w:tc>
                <w:tcPr>
                  <w:tcW w:w="0" w:type="auto"/>
                  <w:tcMar>
                    <w:top w:w="150" w:type="dxa"/>
                    <w:left w:w="0" w:type="dxa"/>
                    <w:bottom w:w="0" w:type="dxa"/>
                    <w:right w:w="0" w:type="dxa"/>
                  </w:tcMar>
                  <w:hideMark/>
                </w:tcPr>
                <w:tbl>
                  <w:tblPr>
                    <w:tblW w:w="4200" w:type="dxa"/>
                    <w:jc w:val="center"/>
                    <w:tblCellMar>
                      <w:left w:w="0" w:type="dxa"/>
                      <w:right w:w="0" w:type="dxa"/>
                    </w:tblCellMar>
                    <w:tblLook w:val="04A0" w:firstRow="1" w:lastRow="0" w:firstColumn="1" w:lastColumn="0" w:noHBand="0" w:noVBand="1"/>
                  </w:tblPr>
                  <w:tblGrid>
                    <w:gridCol w:w="4194"/>
                    <w:gridCol w:w="6"/>
                  </w:tblGrid>
                  <w:tr w:rsidR="00767EF4" w:rsidRPr="00767EF4">
                    <w:trPr>
                      <w:jc w:val="center"/>
                    </w:trPr>
                    <w:tc>
                      <w:tcPr>
                        <w:tcW w:w="0" w:type="auto"/>
                        <w:tcMar>
                          <w:top w:w="0" w:type="dxa"/>
                          <w:left w:w="0" w:type="dxa"/>
                          <w:bottom w:w="150" w:type="dxa"/>
                          <w:right w:w="0" w:type="dxa"/>
                        </w:tcMar>
                        <w:hideMark/>
                      </w:tcPr>
                      <w:p w:rsidR="00767EF4" w:rsidRPr="00767EF4" w:rsidRDefault="00767EF4" w:rsidP="00767EF4"/>
                    </w:tc>
                    <w:tc>
                      <w:tcPr>
                        <w:tcW w:w="6" w:type="dxa"/>
                        <w:hideMark/>
                      </w:tcPr>
                      <w:p w:rsidR="00767EF4" w:rsidRPr="00767EF4" w:rsidRDefault="00767EF4" w:rsidP="00767EF4"/>
                    </w:tc>
                  </w:tr>
                </w:tbl>
                <w:p w:rsidR="00767EF4" w:rsidRPr="00767EF4" w:rsidRDefault="00767EF4" w:rsidP="00767EF4"/>
              </w:tc>
            </w:tr>
          </w:tbl>
          <w:p w:rsidR="00767EF4" w:rsidRPr="00767EF4" w:rsidRDefault="00767EF4" w:rsidP="00767EF4">
            <w:pPr>
              <w:rPr>
                <w:vanish/>
              </w:rPr>
            </w:pPr>
          </w:p>
          <w:tbl>
            <w:tblPr>
              <w:tblW w:w="5000" w:type="pct"/>
              <w:jc w:val="center"/>
              <w:tblCellMar>
                <w:left w:w="0" w:type="dxa"/>
                <w:right w:w="0" w:type="dxa"/>
              </w:tblCellMar>
              <w:tblLook w:val="04A0" w:firstRow="1" w:lastRow="0" w:firstColumn="1" w:lastColumn="0" w:noHBand="0" w:noVBand="1"/>
            </w:tblPr>
            <w:tblGrid>
              <w:gridCol w:w="9018"/>
            </w:tblGrid>
            <w:tr w:rsidR="00767EF4" w:rsidRPr="00767EF4">
              <w:trPr>
                <w:jc w:val="center"/>
              </w:trPr>
              <w:tc>
                <w:tcPr>
                  <w:tcW w:w="0" w:type="auto"/>
                  <w:tcMar>
                    <w:top w:w="150" w:type="dxa"/>
                    <w:left w:w="0" w:type="dxa"/>
                    <w:bottom w:w="0" w:type="dxa"/>
                    <w:right w:w="0" w:type="dxa"/>
                  </w:tcMar>
                  <w:hideMark/>
                </w:tcPr>
                <w:tbl>
                  <w:tblPr>
                    <w:tblW w:w="8700" w:type="dxa"/>
                    <w:jc w:val="center"/>
                    <w:tblCellMar>
                      <w:left w:w="0" w:type="dxa"/>
                      <w:right w:w="0" w:type="dxa"/>
                    </w:tblCellMar>
                    <w:tblLook w:val="04A0" w:firstRow="1" w:lastRow="0" w:firstColumn="1" w:lastColumn="0" w:noHBand="0" w:noVBand="1"/>
                  </w:tblPr>
                  <w:tblGrid>
                    <w:gridCol w:w="8694"/>
                    <w:gridCol w:w="6"/>
                  </w:tblGrid>
                  <w:tr w:rsidR="00767EF4" w:rsidRPr="00767EF4">
                    <w:trPr>
                      <w:jc w:val="center"/>
                    </w:trPr>
                    <w:tc>
                      <w:tcPr>
                        <w:tcW w:w="0" w:type="auto"/>
                        <w:tcMar>
                          <w:top w:w="150" w:type="dxa"/>
                          <w:left w:w="0" w:type="dxa"/>
                          <w:bottom w:w="150" w:type="dxa"/>
                          <w:right w:w="0" w:type="dxa"/>
                        </w:tcMar>
                        <w:hideMark/>
                      </w:tcPr>
                      <w:tbl>
                        <w:tblPr>
                          <w:tblW w:w="5000" w:type="pct"/>
                          <w:jc w:val="center"/>
                          <w:tblBorders>
                            <w:top w:val="single" w:sz="6" w:space="0" w:color="999999"/>
                          </w:tblBorders>
                          <w:tblCellMar>
                            <w:left w:w="0" w:type="dxa"/>
                            <w:right w:w="0" w:type="dxa"/>
                          </w:tblCellMar>
                          <w:tblLook w:val="04A0" w:firstRow="1" w:lastRow="0" w:firstColumn="1" w:lastColumn="0" w:noHBand="0" w:noVBand="1"/>
                        </w:tblPr>
                        <w:tblGrid>
                          <w:gridCol w:w="8694"/>
                        </w:tblGrid>
                        <w:tr w:rsidR="00767EF4" w:rsidRPr="00767EF4">
                          <w:trPr>
                            <w:jc w:val="center"/>
                          </w:trPr>
                          <w:tc>
                            <w:tcPr>
                              <w:tcW w:w="0" w:type="auto"/>
                              <w:tcBorders>
                                <w:top w:val="single" w:sz="6" w:space="0" w:color="999999"/>
                                <w:left w:val="nil"/>
                                <w:bottom w:val="nil"/>
                                <w:right w:val="nil"/>
                              </w:tcBorders>
                              <w:hideMark/>
                            </w:tcPr>
                            <w:p w:rsidR="00767EF4" w:rsidRPr="00767EF4" w:rsidRDefault="00767EF4" w:rsidP="00767EF4">
                              <w:r w:rsidRPr="00767EF4">
                                <w:t> </w:t>
                              </w:r>
                            </w:p>
                          </w:tc>
                        </w:tr>
                      </w:tbl>
                      <w:p w:rsidR="00767EF4" w:rsidRPr="00767EF4" w:rsidRDefault="00767EF4" w:rsidP="00767EF4"/>
                    </w:tc>
                    <w:tc>
                      <w:tcPr>
                        <w:tcW w:w="6" w:type="dxa"/>
                        <w:hideMark/>
                      </w:tcPr>
                      <w:p w:rsidR="00767EF4" w:rsidRPr="00767EF4" w:rsidRDefault="00767EF4" w:rsidP="00767EF4"/>
                    </w:tc>
                  </w:tr>
                </w:tbl>
                <w:p w:rsidR="00767EF4" w:rsidRPr="00767EF4" w:rsidRDefault="00767EF4" w:rsidP="00767EF4"/>
              </w:tc>
            </w:tr>
          </w:tbl>
          <w:p w:rsidR="00767EF4" w:rsidRPr="00767EF4" w:rsidRDefault="00767EF4" w:rsidP="00767EF4">
            <w:pPr>
              <w:rPr>
                <w:vanish/>
              </w:rPr>
            </w:pPr>
          </w:p>
          <w:tbl>
            <w:tblPr>
              <w:tblW w:w="5000" w:type="pct"/>
              <w:jc w:val="center"/>
              <w:tblCellMar>
                <w:left w:w="0" w:type="dxa"/>
                <w:right w:w="0" w:type="dxa"/>
              </w:tblCellMar>
              <w:tblLook w:val="04A0" w:firstRow="1" w:lastRow="0" w:firstColumn="1" w:lastColumn="0" w:noHBand="0" w:noVBand="1"/>
            </w:tblPr>
            <w:tblGrid>
              <w:gridCol w:w="9018"/>
            </w:tblGrid>
            <w:tr w:rsidR="00767EF4" w:rsidRPr="00767EF4">
              <w:trPr>
                <w:jc w:val="center"/>
              </w:trPr>
              <w:tc>
                <w:tcPr>
                  <w:tcW w:w="0" w:type="auto"/>
                  <w:tcMar>
                    <w:top w:w="150" w:type="dxa"/>
                    <w:left w:w="0" w:type="dxa"/>
                    <w:bottom w:w="0" w:type="dxa"/>
                    <w:right w:w="0" w:type="dxa"/>
                  </w:tcMar>
                  <w:hideMark/>
                </w:tcPr>
                <w:tbl>
                  <w:tblPr>
                    <w:tblW w:w="8700" w:type="dxa"/>
                    <w:jc w:val="center"/>
                    <w:tblCellMar>
                      <w:left w:w="0" w:type="dxa"/>
                      <w:right w:w="0" w:type="dxa"/>
                    </w:tblCellMar>
                    <w:tblLook w:val="04A0" w:firstRow="1" w:lastRow="0" w:firstColumn="1" w:lastColumn="0" w:noHBand="0" w:noVBand="1"/>
                  </w:tblPr>
                  <w:tblGrid>
                    <w:gridCol w:w="8694"/>
                    <w:gridCol w:w="6"/>
                  </w:tblGrid>
                  <w:tr w:rsidR="00767EF4" w:rsidRPr="00767EF4">
                    <w:trPr>
                      <w:jc w:val="center"/>
                    </w:trPr>
                    <w:tc>
                      <w:tcPr>
                        <w:tcW w:w="0" w:type="auto"/>
                        <w:tcMar>
                          <w:top w:w="150" w:type="dxa"/>
                          <w:left w:w="150" w:type="dxa"/>
                          <w:bottom w:w="150" w:type="dxa"/>
                          <w:right w:w="150" w:type="dxa"/>
                        </w:tcMar>
                        <w:hideMark/>
                      </w:tcPr>
                      <w:p w:rsidR="00767EF4" w:rsidRPr="00767EF4" w:rsidRDefault="00767EF4" w:rsidP="00767EF4">
                        <w:r w:rsidRPr="00767EF4">
                          <w:rPr>
                            <w:b/>
                            <w:bCs/>
                          </w:rPr>
                          <w:t>SAIMM</w:t>
                        </w:r>
                        <w:r w:rsidRPr="00767EF4">
                          <w:t xml:space="preserve"> </w:t>
                        </w:r>
                        <w:r w:rsidRPr="00767EF4">
                          <w:rPr>
                            <w:b/>
                            <w:bCs/>
                          </w:rPr>
                          <w:t>Journal Volume 117 No. 6  - June 2017</w:t>
                        </w:r>
                      </w:p>
                    </w:tc>
                    <w:tc>
                      <w:tcPr>
                        <w:tcW w:w="6" w:type="dxa"/>
                        <w:hideMark/>
                      </w:tcPr>
                      <w:p w:rsidR="00767EF4" w:rsidRPr="00767EF4" w:rsidRDefault="00767EF4" w:rsidP="00767EF4"/>
                    </w:tc>
                  </w:tr>
                </w:tbl>
                <w:p w:rsidR="00767EF4" w:rsidRPr="00767EF4" w:rsidRDefault="00767EF4" w:rsidP="00767EF4"/>
              </w:tc>
            </w:tr>
          </w:tbl>
          <w:p w:rsidR="00767EF4" w:rsidRPr="00767EF4" w:rsidRDefault="00767EF4" w:rsidP="00767EF4">
            <w:pPr>
              <w:rPr>
                <w:vanish/>
              </w:rPr>
            </w:pPr>
          </w:p>
          <w:tbl>
            <w:tblPr>
              <w:tblW w:w="5000" w:type="pct"/>
              <w:jc w:val="center"/>
              <w:tblCellMar>
                <w:left w:w="0" w:type="dxa"/>
                <w:right w:w="0" w:type="dxa"/>
              </w:tblCellMar>
              <w:tblLook w:val="04A0" w:firstRow="1" w:lastRow="0" w:firstColumn="1" w:lastColumn="0" w:noHBand="0" w:noVBand="1"/>
            </w:tblPr>
            <w:tblGrid>
              <w:gridCol w:w="4655"/>
              <w:gridCol w:w="4363"/>
            </w:tblGrid>
            <w:tr w:rsidR="00767EF4" w:rsidRPr="00767EF4">
              <w:trPr>
                <w:jc w:val="center"/>
              </w:trPr>
              <w:tc>
                <w:tcPr>
                  <w:tcW w:w="0" w:type="auto"/>
                  <w:tcMar>
                    <w:top w:w="150" w:type="dxa"/>
                    <w:left w:w="0" w:type="dxa"/>
                    <w:bottom w:w="0" w:type="dxa"/>
                    <w:right w:w="300" w:type="dxa"/>
                  </w:tcMar>
                  <w:hideMark/>
                </w:tcPr>
                <w:tbl>
                  <w:tblPr>
                    <w:tblW w:w="4200" w:type="dxa"/>
                    <w:jc w:val="center"/>
                    <w:tblCellMar>
                      <w:left w:w="0" w:type="dxa"/>
                      <w:right w:w="0" w:type="dxa"/>
                    </w:tblCellMar>
                    <w:tblLook w:val="04A0" w:firstRow="1" w:lastRow="0" w:firstColumn="1" w:lastColumn="0" w:noHBand="0" w:noVBand="1"/>
                  </w:tblPr>
                  <w:tblGrid>
                    <w:gridCol w:w="4194"/>
                    <w:gridCol w:w="6"/>
                  </w:tblGrid>
                  <w:tr w:rsidR="00767EF4" w:rsidRPr="00767EF4">
                    <w:trPr>
                      <w:jc w:val="center"/>
                    </w:trPr>
                    <w:tc>
                      <w:tcPr>
                        <w:tcW w:w="0" w:type="auto"/>
                        <w:tcMar>
                          <w:top w:w="150" w:type="dxa"/>
                          <w:left w:w="150" w:type="dxa"/>
                          <w:bottom w:w="150" w:type="dxa"/>
                          <w:right w:w="150" w:type="dxa"/>
                        </w:tcMar>
                        <w:hideMark/>
                      </w:tcPr>
                      <w:p w:rsidR="00767EF4" w:rsidRPr="00767EF4" w:rsidRDefault="00767EF4" w:rsidP="00767EF4">
                        <w:r w:rsidRPr="00767EF4">
                          <w:t> </w:t>
                        </w:r>
                        <w:r w:rsidRPr="00767EF4">
                          <w:br/>
                        </w:r>
                        <w:r w:rsidRPr="00767EF4">
                          <w:rPr>
                            <w:b/>
                            <w:bCs/>
                            <w:u w:val="single"/>
                          </w:rPr>
                          <w:t>CONTENTS</w:t>
                        </w:r>
                        <w:r w:rsidRPr="00767EF4">
                          <w:br/>
                        </w:r>
                        <w:r w:rsidRPr="00767EF4">
                          <w:br/>
                        </w:r>
                        <w:hyperlink r:id="rId8" w:history="1">
                          <w:r w:rsidRPr="00767EF4">
                            <w:rPr>
                              <w:rStyle w:val="Hyperlink"/>
                              <w:b/>
                              <w:bCs/>
                            </w:rPr>
                            <w:t>Journal Comment: We have a problem?</w:t>
                          </w:r>
                        </w:hyperlink>
                        <w:r w:rsidRPr="00767EF4">
                          <w:rPr>
                            <w:b/>
                            <w:bCs/>
                          </w:rPr>
                          <w:br/>
                        </w:r>
                        <w:r w:rsidRPr="00767EF4">
                          <w:rPr>
                            <w:b/>
                            <w:bCs/>
                            <w:i/>
                            <w:iCs/>
                          </w:rPr>
                          <w:t>by R .Paul</w:t>
                        </w:r>
                        <w:r w:rsidRPr="00767EF4">
                          <w:rPr>
                            <w:b/>
                            <w:bCs/>
                          </w:rPr>
                          <w:br/>
                          <w:t> </w:t>
                        </w:r>
                        <w:r w:rsidRPr="00767EF4">
                          <w:rPr>
                            <w:b/>
                            <w:bCs/>
                          </w:rPr>
                          <w:br/>
                        </w:r>
                        <w:hyperlink r:id="rId9" w:history="1">
                          <w:r w:rsidRPr="00767EF4">
                            <w:rPr>
                              <w:rStyle w:val="Hyperlink"/>
                              <w:b/>
                              <w:bCs/>
                            </w:rPr>
                            <w:t>President’s Corner – The modern mining professional – a mining CEO’s perspective</w:t>
                          </w:r>
                        </w:hyperlink>
                        <w:r w:rsidRPr="00767EF4">
                          <w:rPr>
                            <w:b/>
                            <w:bCs/>
                          </w:rPr>
                          <w:br/>
                        </w:r>
                        <w:r w:rsidRPr="00767EF4">
                          <w:rPr>
                            <w:b/>
                            <w:bCs/>
                            <w:i/>
                            <w:iCs/>
                          </w:rPr>
                          <w:t xml:space="preserve">by C. </w:t>
                        </w:r>
                        <w:proofErr w:type="spellStart"/>
                        <w:r w:rsidRPr="00767EF4">
                          <w:rPr>
                            <w:b/>
                            <w:bCs/>
                            <w:i/>
                            <w:iCs/>
                          </w:rPr>
                          <w:t>Musingwini</w:t>
                        </w:r>
                        <w:proofErr w:type="spellEnd"/>
                        <w:r w:rsidRPr="00767EF4">
                          <w:rPr>
                            <w:b/>
                            <w:bCs/>
                          </w:rPr>
                          <w:br/>
                          <w:t>  </w:t>
                        </w:r>
                        <w:r w:rsidRPr="00767EF4">
                          <w:rPr>
                            <w:b/>
                            <w:bCs/>
                          </w:rPr>
                          <w:br/>
                        </w:r>
                        <w:hyperlink r:id="rId10" w:history="1">
                          <w:r w:rsidRPr="00767EF4">
                            <w:rPr>
                              <w:rStyle w:val="Hyperlink"/>
                              <w:b/>
                              <w:bCs/>
                            </w:rPr>
                            <w:t>Global Mining Standards and Guidelines Group (GMSG)</w:t>
                          </w:r>
                        </w:hyperlink>
                        <w:r w:rsidRPr="00767EF4">
                          <w:rPr>
                            <w:b/>
                            <w:bCs/>
                          </w:rPr>
                          <w:br/>
                        </w:r>
                        <w:r w:rsidRPr="00767EF4">
                          <w:rPr>
                            <w:b/>
                            <w:bCs/>
                            <w:i/>
                            <w:iCs/>
                          </w:rPr>
                          <w:t xml:space="preserve">by H. </w:t>
                        </w:r>
                        <w:proofErr w:type="spellStart"/>
                        <w:r w:rsidRPr="00767EF4">
                          <w:rPr>
                            <w:b/>
                            <w:bCs/>
                            <w:i/>
                            <w:iCs/>
                          </w:rPr>
                          <w:t>Ednie</w:t>
                        </w:r>
                        <w:proofErr w:type="spellEnd"/>
                        <w:r w:rsidRPr="00767EF4">
                          <w:br/>
                          <w:t> </w:t>
                        </w:r>
                      </w:p>
                    </w:tc>
                    <w:tc>
                      <w:tcPr>
                        <w:tcW w:w="6" w:type="dxa"/>
                        <w:hideMark/>
                      </w:tcPr>
                      <w:p w:rsidR="00767EF4" w:rsidRPr="00767EF4" w:rsidRDefault="00767EF4" w:rsidP="00767EF4"/>
                    </w:tc>
                  </w:tr>
                </w:tbl>
                <w:p w:rsidR="00767EF4" w:rsidRPr="00767EF4" w:rsidRDefault="00767EF4" w:rsidP="00767EF4"/>
              </w:tc>
              <w:tc>
                <w:tcPr>
                  <w:tcW w:w="0" w:type="auto"/>
                  <w:tcMar>
                    <w:top w:w="150" w:type="dxa"/>
                    <w:left w:w="0" w:type="dxa"/>
                    <w:bottom w:w="0" w:type="dxa"/>
                    <w:right w:w="0" w:type="dxa"/>
                  </w:tcMar>
                  <w:hideMark/>
                </w:tcPr>
                <w:tbl>
                  <w:tblPr>
                    <w:tblW w:w="4200" w:type="dxa"/>
                    <w:jc w:val="center"/>
                    <w:tblCellMar>
                      <w:left w:w="0" w:type="dxa"/>
                      <w:right w:w="0" w:type="dxa"/>
                    </w:tblCellMar>
                    <w:tblLook w:val="04A0" w:firstRow="1" w:lastRow="0" w:firstColumn="1" w:lastColumn="0" w:noHBand="0" w:noVBand="1"/>
                  </w:tblPr>
                  <w:tblGrid>
                    <w:gridCol w:w="4212"/>
                    <w:gridCol w:w="6"/>
                  </w:tblGrid>
                  <w:tr w:rsidR="00767EF4" w:rsidRPr="00767EF4">
                    <w:trPr>
                      <w:jc w:val="center"/>
                    </w:trPr>
                    <w:tc>
                      <w:tcPr>
                        <w:tcW w:w="0" w:type="auto"/>
                        <w:tcMar>
                          <w:top w:w="0" w:type="dxa"/>
                          <w:left w:w="0" w:type="dxa"/>
                          <w:bottom w:w="150" w:type="dxa"/>
                          <w:right w:w="0" w:type="dxa"/>
                        </w:tcMar>
                        <w:hideMark/>
                      </w:tcPr>
                      <w:p w:rsidR="00767EF4" w:rsidRPr="00767EF4" w:rsidRDefault="00767EF4" w:rsidP="00767EF4">
                        <w:r w:rsidRPr="00767EF4">
                          <w:drawing>
                            <wp:inline distT="0" distB="0" distL="0" distR="0">
                              <wp:extent cx="2674620" cy="3200400"/>
                              <wp:effectExtent l="0" t="0" r="0" b="0"/>
                              <wp:docPr id="10" name="Picture 10" descr="journal_june(2).png">
                                <a:hlinkClick xmlns:a="http://schemas.openxmlformats.org/drawingml/2006/main" r:id="rId11" tgtFrame="_blank" tooltip="journal_june(2).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ournal_jun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620" cy="3200400"/>
                                      </a:xfrm>
                                      <a:prstGeom prst="rect">
                                        <a:avLst/>
                                      </a:prstGeom>
                                      <a:noFill/>
                                      <a:ln>
                                        <a:noFill/>
                                      </a:ln>
                                    </pic:spPr>
                                  </pic:pic>
                                </a:graphicData>
                              </a:graphic>
                            </wp:inline>
                          </w:drawing>
                        </w:r>
                      </w:p>
                    </w:tc>
                    <w:tc>
                      <w:tcPr>
                        <w:tcW w:w="6" w:type="dxa"/>
                        <w:hideMark/>
                      </w:tcPr>
                      <w:p w:rsidR="00767EF4" w:rsidRPr="00767EF4" w:rsidRDefault="00767EF4" w:rsidP="00767EF4"/>
                    </w:tc>
                  </w:tr>
                </w:tbl>
                <w:p w:rsidR="00767EF4" w:rsidRPr="00767EF4" w:rsidRDefault="00767EF4" w:rsidP="00767EF4"/>
              </w:tc>
            </w:tr>
          </w:tbl>
          <w:p w:rsidR="00767EF4" w:rsidRPr="00767EF4" w:rsidRDefault="00767EF4" w:rsidP="00767EF4">
            <w:pPr>
              <w:rPr>
                <w:vanish/>
              </w:rPr>
            </w:pPr>
          </w:p>
          <w:tbl>
            <w:tblPr>
              <w:tblW w:w="5000" w:type="pct"/>
              <w:jc w:val="center"/>
              <w:tblCellMar>
                <w:left w:w="0" w:type="dxa"/>
                <w:right w:w="0" w:type="dxa"/>
              </w:tblCellMar>
              <w:tblLook w:val="04A0" w:firstRow="1" w:lastRow="0" w:firstColumn="1" w:lastColumn="0" w:noHBand="0" w:noVBand="1"/>
            </w:tblPr>
            <w:tblGrid>
              <w:gridCol w:w="9018"/>
            </w:tblGrid>
            <w:tr w:rsidR="00767EF4" w:rsidRPr="00767EF4">
              <w:trPr>
                <w:jc w:val="center"/>
              </w:trPr>
              <w:tc>
                <w:tcPr>
                  <w:tcW w:w="0" w:type="auto"/>
                  <w:tcMar>
                    <w:top w:w="150" w:type="dxa"/>
                    <w:left w:w="0" w:type="dxa"/>
                    <w:bottom w:w="0" w:type="dxa"/>
                    <w:right w:w="0" w:type="dxa"/>
                  </w:tcMar>
                  <w:hideMark/>
                </w:tcPr>
                <w:tbl>
                  <w:tblPr>
                    <w:tblW w:w="8700" w:type="dxa"/>
                    <w:jc w:val="center"/>
                    <w:tblCellMar>
                      <w:left w:w="0" w:type="dxa"/>
                      <w:right w:w="0" w:type="dxa"/>
                    </w:tblCellMar>
                    <w:tblLook w:val="04A0" w:firstRow="1" w:lastRow="0" w:firstColumn="1" w:lastColumn="0" w:noHBand="0" w:noVBand="1"/>
                  </w:tblPr>
                  <w:tblGrid>
                    <w:gridCol w:w="8694"/>
                    <w:gridCol w:w="6"/>
                  </w:tblGrid>
                  <w:tr w:rsidR="00767EF4" w:rsidRPr="00767EF4">
                    <w:trPr>
                      <w:jc w:val="center"/>
                    </w:trPr>
                    <w:tc>
                      <w:tcPr>
                        <w:tcW w:w="0" w:type="auto"/>
                        <w:tcMar>
                          <w:top w:w="150" w:type="dxa"/>
                          <w:left w:w="150" w:type="dxa"/>
                          <w:bottom w:w="150" w:type="dxa"/>
                          <w:right w:w="150" w:type="dxa"/>
                        </w:tcMar>
                        <w:hideMark/>
                      </w:tcPr>
                      <w:p w:rsidR="00767EF4" w:rsidRPr="00767EF4" w:rsidRDefault="00767EF4" w:rsidP="00767EF4">
                        <w:r w:rsidRPr="00767EF4">
                          <w:rPr>
                            <w:b/>
                            <w:bCs/>
                            <w:u w:val="single"/>
                          </w:rPr>
                          <w:t>PAPERS OF GENERAL INTEREST</w:t>
                        </w:r>
                      </w:p>
                      <w:p w:rsidR="00767EF4" w:rsidRPr="00767EF4" w:rsidRDefault="00767EF4" w:rsidP="00767EF4">
                        <w:r w:rsidRPr="00767EF4">
                          <w:t> </w:t>
                        </w:r>
                        <w:r w:rsidRPr="00767EF4">
                          <w:br/>
                        </w:r>
                        <w:hyperlink r:id="rId13" w:history="1">
                          <w:r w:rsidRPr="00767EF4">
                            <w:rPr>
                              <w:rStyle w:val="Hyperlink"/>
                              <w:b/>
                              <w:bCs/>
                            </w:rPr>
                            <w:t>Near-surface wave attenuation (kappa) of Far West Rand micro-events</w:t>
                          </w:r>
                        </w:hyperlink>
                        <w:r w:rsidRPr="00767EF4">
                          <w:rPr>
                            <w:b/>
                            <w:bCs/>
                          </w:rPr>
                          <w:br/>
                        </w:r>
                        <w:hyperlink r:id="rId14" w:history="1">
                          <w:r w:rsidRPr="00767EF4">
                            <w:rPr>
                              <w:rStyle w:val="Hyperlink"/>
                              <w:b/>
                              <w:bCs/>
                              <w:i/>
                              <w:iCs/>
                            </w:rPr>
                            <w:t>By M.B.C. Brandt</w:t>
                          </w:r>
                        </w:hyperlink>
                        <w:r w:rsidRPr="00767EF4">
                          <w:br/>
                          <w:t>The near-surface wave attenuation factor k (kappa), which describes the attenuation of seismic waves with distance in the upper 1–3 km of the Earth, was determined for the Far West Rand gold mining area using mining-induced seismic data. The aim was to derive a mining-related k value that will be useful for calculating moment magnitude, Mw, for S-waves using the seismograms recorded by the National Seismograph Network.</w:t>
                        </w:r>
                        <w:r w:rsidRPr="00767EF4">
                          <w:br/>
                          <w:t> </w:t>
                        </w:r>
                        <w:r w:rsidRPr="00767EF4">
                          <w:br/>
                        </w:r>
                        <w:hyperlink r:id="rId15" w:history="1">
                          <w:r w:rsidRPr="00767EF4">
                            <w:rPr>
                              <w:rStyle w:val="Hyperlink"/>
                              <w:b/>
                              <w:bCs/>
                            </w:rPr>
                            <w:t>Activity-based risk management for the acquisition of electronic mine safety equipment</w:t>
                          </w:r>
                        </w:hyperlink>
                        <w:r w:rsidRPr="00767EF4">
                          <w:rPr>
                            <w:b/>
                            <w:bCs/>
                          </w:rPr>
                          <w:br/>
                        </w:r>
                        <w:hyperlink r:id="rId16" w:history="1">
                          <w:r w:rsidRPr="00767EF4">
                            <w:rPr>
                              <w:rStyle w:val="Hyperlink"/>
                              <w:b/>
                              <w:bCs/>
                              <w:i/>
                              <w:iCs/>
                            </w:rPr>
                            <w:t>By G.P.R. van der Merwe, J.E.W. Holm, and A.J. Hofmann</w:t>
                          </w:r>
                        </w:hyperlink>
                        <w:r w:rsidRPr="00767EF4">
                          <w:br/>
                          <w:t xml:space="preserve">A proposed new approach is presented to perform relativistic comparisons between alternative operational risk management solutions by taking into account the impact of each operational activity on overall system performance. The approach is applied to a specific case </w:t>
                        </w:r>
                        <w:r w:rsidRPr="00767EF4">
                          <w:lastRenderedPageBreak/>
                          <w:t>study of the deployment of safety systems in underground mining, taking into account conflicting objectives.</w:t>
                        </w:r>
                        <w:bookmarkStart w:id="0" w:name="_GoBack"/>
                        <w:bookmarkEnd w:id="0"/>
                        <w:r w:rsidRPr="00767EF4">
                          <w:br/>
                          <w:t> </w:t>
                        </w:r>
                        <w:r w:rsidRPr="00767EF4">
                          <w:br/>
                        </w:r>
                        <w:hyperlink r:id="rId17" w:history="1">
                          <w:r w:rsidRPr="00767EF4">
                            <w:rPr>
                              <w:rStyle w:val="Hyperlink"/>
                              <w:b/>
                              <w:bCs/>
                            </w:rPr>
                            <w:t>Strapping of pillars with cables to enhance pillar stability</w:t>
                          </w:r>
                        </w:hyperlink>
                        <w:r w:rsidRPr="00767EF4">
                          <w:rPr>
                            <w:b/>
                            <w:bCs/>
                          </w:rPr>
                          <w:br/>
                        </w:r>
                        <w:hyperlink r:id="rId18" w:history="1">
                          <w:r w:rsidRPr="00767EF4">
                            <w:rPr>
                              <w:rStyle w:val="Hyperlink"/>
                              <w:b/>
                              <w:bCs/>
                              <w:i/>
                              <w:iCs/>
                            </w:rPr>
                            <w:t xml:space="preserve">By L.R. </w:t>
                          </w:r>
                          <w:proofErr w:type="spellStart"/>
                          <w:r w:rsidRPr="00767EF4">
                            <w:rPr>
                              <w:rStyle w:val="Hyperlink"/>
                              <w:b/>
                              <w:bCs/>
                              <w:i/>
                              <w:iCs/>
                            </w:rPr>
                            <w:t>Alejano</w:t>
                          </w:r>
                          <w:proofErr w:type="spellEnd"/>
                          <w:r w:rsidRPr="00767EF4">
                            <w:rPr>
                              <w:rStyle w:val="Hyperlink"/>
                              <w:b/>
                              <w:bCs/>
                              <w:i/>
                              <w:iCs/>
                            </w:rPr>
                            <w:t xml:space="preserve">, J. </w:t>
                          </w:r>
                          <w:proofErr w:type="spellStart"/>
                          <w:r w:rsidRPr="00767EF4">
                            <w:rPr>
                              <w:rStyle w:val="Hyperlink"/>
                              <w:b/>
                              <w:bCs/>
                              <w:i/>
                              <w:iCs/>
                            </w:rPr>
                            <w:t>Arzu'a</w:t>
                          </w:r>
                          <w:proofErr w:type="spellEnd"/>
                          <w:r w:rsidRPr="00767EF4">
                            <w:rPr>
                              <w:rStyle w:val="Hyperlink"/>
                              <w:b/>
                              <w:bCs/>
                              <w:i/>
                              <w:iCs/>
                            </w:rPr>
                            <w:t>, U. Castro-</w:t>
                          </w:r>
                          <w:proofErr w:type="spellStart"/>
                          <w:r w:rsidRPr="00767EF4">
                            <w:rPr>
                              <w:rStyle w:val="Hyperlink"/>
                              <w:b/>
                              <w:bCs/>
                              <w:i/>
                              <w:iCs/>
                            </w:rPr>
                            <w:t>Filgueira</w:t>
                          </w:r>
                          <w:proofErr w:type="spellEnd"/>
                          <w:r w:rsidRPr="00767EF4">
                            <w:rPr>
                              <w:rStyle w:val="Hyperlink"/>
                              <w:b/>
                              <w:bCs/>
                              <w:i/>
                              <w:iCs/>
                            </w:rPr>
                            <w:t xml:space="preserve"> and F. Malan</w:t>
                          </w:r>
                        </w:hyperlink>
                        <w:r w:rsidRPr="00767EF4">
                          <w:br/>
                          <w:t>The authors investigated the strapping of pillars by conducting laboratory tests on cabled rock specimens. The results demonstrate the value of steel cabling and mesh wrapped around pillars to improve stability.</w:t>
                        </w:r>
                        <w:r w:rsidRPr="00767EF4">
                          <w:br/>
                        </w:r>
                        <w:r w:rsidRPr="00767EF4">
                          <w:rPr>
                            <w:b/>
                            <w:bCs/>
                          </w:rPr>
                          <w:t> </w:t>
                        </w:r>
                        <w:r w:rsidRPr="00767EF4">
                          <w:br/>
                        </w:r>
                        <w:hyperlink r:id="rId19" w:history="1">
                          <w:r w:rsidRPr="00767EF4">
                            <w:rPr>
                              <w:rStyle w:val="Hyperlink"/>
                              <w:b/>
                              <w:bCs/>
                            </w:rPr>
                            <w:t>Molecular modelling of tantalum in an aqueous phase</w:t>
                          </w:r>
                        </w:hyperlink>
                        <w:r w:rsidRPr="00767EF4">
                          <w:rPr>
                            <w:b/>
                            <w:bCs/>
                          </w:rPr>
                          <w:br/>
                        </w:r>
                        <w:hyperlink r:id="rId20" w:history="1">
                          <w:r w:rsidRPr="00767EF4">
                            <w:rPr>
                              <w:rStyle w:val="Hyperlink"/>
                              <w:b/>
                              <w:bCs/>
                              <w:i/>
                              <w:iCs/>
                            </w:rPr>
                            <w:t xml:space="preserve">By M.J. </w:t>
                          </w:r>
                          <w:proofErr w:type="spellStart"/>
                          <w:r w:rsidRPr="00767EF4">
                            <w:rPr>
                              <w:rStyle w:val="Hyperlink"/>
                              <w:b/>
                              <w:bCs/>
                              <w:i/>
                              <w:iCs/>
                            </w:rPr>
                            <w:t>Ungerer</w:t>
                          </w:r>
                          <w:proofErr w:type="spellEnd"/>
                          <w:r w:rsidRPr="00767EF4">
                            <w:rPr>
                              <w:rStyle w:val="Hyperlink"/>
                              <w:b/>
                              <w:bCs/>
                              <w:i/>
                              <w:iCs/>
                            </w:rPr>
                            <w:t xml:space="preserve">, C.G.C.E. van </w:t>
                          </w:r>
                          <w:proofErr w:type="spellStart"/>
                          <w:r w:rsidRPr="00767EF4">
                            <w:rPr>
                              <w:rStyle w:val="Hyperlink"/>
                              <w:b/>
                              <w:bCs/>
                              <w:i/>
                              <w:iCs/>
                            </w:rPr>
                            <w:t>Sittert</w:t>
                          </w:r>
                          <w:proofErr w:type="spellEnd"/>
                          <w:r w:rsidRPr="00767EF4">
                            <w:rPr>
                              <w:rStyle w:val="Hyperlink"/>
                              <w:b/>
                              <w:bCs/>
                              <w:i/>
                              <w:iCs/>
                            </w:rPr>
                            <w:t xml:space="preserve">, D.J. van der </w:t>
                          </w:r>
                          <w:proofErr w:type="spellStart"/>
                          <w:r w:rsidRPr="00767EF4">
                            <w:rPr>
                              <w:rStyle w:val="Hyperlink"/>
                              <w:b/>
                              <w:bCs/>
                              <w:i/>
                              <w:iCs/>
                            </w:rPr>
                            <w:t>Westhuizen</w:t>
                          </w:r>
                          <w:proofErr w:type="spellEnd"/>
                          <w:r w:rsidRPr="00767EF4">
                            <w:rPr>
                              <w:rStyle w:val="Hyperlink"/>
                              <w:b/>
                              <w:bCs/>
                              <w:i/>
                              <w:iCs/>
                            </w:rPr>
                            <w:t>, and H.M. Krieg</w:t>
                          </w:r>
                        </w:hyperlink>
                        <w:r w:rsidRPr="00767EF4">
                          <w:br/>
                          <w:t>The separation mechanism of tantalum and niobium using solvent extraction is not fully understood. The aqueous phase during solvent extraction was investigated by studying periodic systems of Ta, as a metal and in salt form, when it is in contact with H2O and H2SO4.</w:t>
                        </w:r>
                        <w:r w:rsidRPr="00767EF4">
                          <w:br/>
                          <w:t> </w:t>
                        </w:r>
                        <w:r w:rsidRPr="00767EF4">
                          <w:br/>
                        </w:r>
                        <w:hyperlink r:id="rId21" w:history="1">
                          <w:r w:rsidRPr="00767EF4">
                            <w:rPr>
                              <w:rStyle w:val="Hyperlink"/>
                              <w:b/>
                              <w:bCs/>
                            </w:rPr>
                            <w:t xml:space="preserve">Determination of magnitude completeness from convex Gutenberg-Richter graphs in the central portion of the </w:t>
                          </w:r>
                          <w:proofErr w:type="spellStart"/>
                          <w:r w:rsidRPr="00767EF4">
                            <w:rPr>
                              <w:rStyle w:val="Hyperlink"/>
                              <w:b/>
                              <w:bCs/>
                            </w:rPr>
                            <w:t>Kiirunavaara</w:t>
                          </w:r>
                          <w:proofErr w:type="spellEnd"/>
                          <w:r w:rsidRPr="00767EF4">
                            <w:rPr>
                              <w:rStyle w:val="Hyperlink"/>
                              <w:b/>
                              <w:bCs/>
                            </w:rPr>
                            <w:t xml:space="preserve"> mine</w:t>
                          </w:r>
                        </w:hyperlink>
                        <w:r w:rsidRPr="00767EF4">
                          <w:rPr>
                            <w:b/>
                            <w:bCs/>
                          </w:rPr>
                          <w:br/>
                        </w:r>
                        <w:hyperlink r:id="rId22" w:history="1">
                          <w:r w:rsidRPr="00767EF4">
                            <w:rPr>
                              <w:rStyle w:val="Hyperlink"/>
                              <w:b/>
                              <w:bCs/>
                              <w:i/>
                              <w:iCs/>
                            </w:rPr>
                            <w:t xml:space="preserve">By M. </w:t>
                          </w:r>
                          <w:proofErr w:type="spellStart"/>
                          <w:r w:rsidRPr="00767EF4">
                            <w:rPr>
                              <w:rStyle w:val="Hyperlink"/>
                              <w:b/>
                              <w:bCs/>
                              <w:i/>
                              <w:iCs/>
                            </w:rPr>
                            <w:t>Svartsjaern</w:t>
                          </w:r>
                          <w:proofErr w:type="spellEnd"/>
                          <w:r w:rsidRPr="00767EF4">
                            <w:rPr>
                              <w:rStyle w:val="Hyperlink"/>
                              <w:b/>
                              <w:bCs/>
                              <w:i/>
                              <w:iCs/>
                            </w:rPr>
                            <w:t xml:space="preserve"> and A. </w:t>
                          </w:r>
                          <w:proofErr w:type="spellStart"/>
                          <w:r w:rsidRPr="00767EF4">
                            <w:rPr>
                              <w:rStyle w:val="Hyperlink"/>
                              <w:b/>
                              <w:bCs/>
                              <w:i/>
                              <w:iCs/>
                            </w:rPr>
                            <w:t>Eitzenberger</w:t>
                          </w:r>
                          <w:proofErr w:type="spellEnd"/>
                        </w:hyperlink>
                        <w:r w:rsidRPr="00767EF4">
                          <w:br/>
                          <w:t xml:space="preserve">Seismic records from the </w:t>
                        </w:r>
                        <w:proofErr w:type="spellStart"/>
                        <w:r w:rsidRPr="00767EF4">
                          <w:t>Kiirunavaara</w:t>
                        </w:r>
                        <w:proofErr w:type="spellEnd"/>
                        <w:r w:rsidRPr="00767EF4">
                          <w:t xml:space="preserve"> mine footwall were analysed to determine the event origin mechanisms and minimum magnitude cut-off. The results show a correlation between shear-slip seismic events and volumes experiencing high differential stresses in the lower part of the footwall.</w:t>
                        </w:r>
                        <w:r w:rsidRPr="00767EF4">
                          <w:br/>
                          <w:t> </w:t>
                        </w:r>
                        <w:r w:rsidRPr="00767EF4">
                          <w:br/>
                        </w:r>
                        <w:hyperlink r:id="rId23" w:history="1">
                          <w:r w:rsidRPr="00767EF4">
                            <w:rPr>
                              <w:rStyle w:val="Hyperlink"/>
                              <w:b/>
                              <w:bCs/>
                            </w:rPr>
                            <w:t>Comparison of the effect of particle size on the flotation kinetics of a low-rank coal using air bubbles and oily bubbles</w:t>
                          </w:r>
                        </w:hyperlink>
                        <w:r w:rsidRPr="00767EF4">
                          <w:rPr>
                            <w:b/>
                            <w:bCs/>
                          </w:rPr>
                          <w:br/>
                        </w:r>
                        <w:hyperlink r:id="rId24" w:history="1">
                          <w:r w:rsidRPr="00767EF4">
                            <w:rPr>
                              <w:rStyle w:val="Hyperlink"/>
                              <w:b/>
                              <w:bCs/>
                              <w:i/>
                              <w:iCs/>
                            </w:rPr>
                            <w:t>By Y. Liao, Y. Cao, C. Liu, Y. Zhao, and G. Zhu</w:t>
                          </w:r>
                        </w:hyperlink>
                        <w:r w:rsidRPr="00767EF4">
                          <w:br/>
                          <w:t>Flotation tests were conducted on size fractions of +500, -500+250, -250+125, -125+74, and -74-tm using oily bubbles and conventional air bubbles. The results showed that oily bubble flotation resulted in a lower ash content and higher combustible recovery than air bubble flotation.</w:t>
                        </w:r>
                        <w:r w:rsidRPr="00767EF4">
                          <w:br/>
                          <w:t> </w:t>
                        </w:r>
                        <w:r w:rsidRPr="00767EF4">
                          <w:br/>
                        </w:r>
                        <w:hyperlink r:id="rId25" w:history="1">
                          <w:r w:rsidRPr="00767EF4">
                            <w:rPr>
                              <w:rStyle w:val="Hyperlink"/>
                              <w:b/>
                              <w:bCs/>
                            </w:rPr>
                            <w:t>The geoscience education pipeline in South Africa: Issues of skills development, equity and gender</w:t>
                          </w:r>
                        </w:hyperlink>
                        <w:r w:rsidRPr="00767EF4">
                          <w:rPr>
                            <w:b/>
                            <w:bCs/>
                          </w:rPr>
                          <w:br/>
                        </w:r>
                        <w:hyperlink r:id="rId26" w:history="1">
                          <w:r w:rsidRPr="00767EF4">
                            <w:rPr>
                              <w:rStyle w:val="Hyperlink"/>
                              <w:b/>
                              <w:bCs/>
                              <w:i/>
                              <w:iCs/>
                            </w:rPr>
                            <w:t xml:space="preserve">By A. Cameron and G. </w:t>
                          </w:r>
                          <w:proofErr w:type="spellStart"/>
                          <w:r w:rsidRPr="00767EF4">
                            <w:rPr>
                              <w:rStyle w:val="Hyperlink"/>
                              <w:b/>
                              <w:bCs/>
                              <w:i/>
                              <w:iCs/>
                            </w:rPr>
                            <w:t>Drennan</w:t>
                          </w:r>
                          <w:proofErr w:type="spellEnd"/>
                        </w:hyperlink>
                        <w:r w:rsidRPr="00767EF4">
                          <w:br/>
                          <w:t>The reasons for the demographic shift in class composition are documented, and the role played by employment equity legislation and corporate social investment strategies considered. The findings indicate a need for a curriculum adjustment to meet the changing needs of industry, as well as more rigorous selection criteria for bursars.</w:t>
                        </w:r>
                        <w:r w:rsidRPr="00767EF4">
                          <w:br/>
                          <w:t> </w:t>
                        </w:r>
                        <w:r w:rsidRPr="00767EF4">
                          <w:br/>
                        </w:r>
                        <w:hyperlink r:id="rId27" w:history="1">
                          <w:r w:rsidRPr="00767EF4">
                            <w:rPr>
                              <w:rStyle w:val="Hyperlink"/>
                              <w:b/>
                              <w:bCs/>
                            </w:rPr>
                            <w:t xml:space="preserve">Direct block-support simulation of grades in multi-element deposits: application to recoverable mineral resource estimation at </w:t>
                          </w:r>
                          <w:proofErr w:type="spellStart"/>
                          <w:r w:rsidRPr="00767EF4">
                            <w:rPr>
                              <w:rStyle w:val="Hyperlink"/>
                              <w:b/>
                              <w:bCs/>
                            </w:rPr>
                            <w:t>Sungun</w:t>
                          </w:r>
                          <w:proofErr w:type="spellEnd"/>
                          <w:r w:rsidRPr="00767EF4">
                            <w:rPr>
                              <w:rStyle w:val="Hyperlink"/>
                              <w:b/>
                              <w:bCs/>
                            </w:rPr>
                            <w:t xml:space="preserve"> porphyry copper-molybdenum deposit</w:t>
                          </w:r>
                        </w:hyperlink>
                        <w:r w:rsidRPr="00767EF4">
                          <w:rPr>
                            <w:b/>
                            <w:bCs/>
                          </w:rPr>
                          <w:br/>
                        </w:r>
                        <w:hyperlink r:id="rId28" w:history="1">
                          <w:r w:rsidRPr="00767EF4">
                            <w:rPr>
                              <w:rStyle w:val="Hyperlink"/>
                              <w:b/>
                              <w:bCs/>
                              <w:i/>
                              <w:iCs/>
                            </w:rPr>
                            <w:t xml:space="preserve">By S.A. Hosseini, O. </w:t>
                          </w:r>
                          <w:proofErr w:type="spellStart"/>
                          <w:r w:rsidRPr="00767EF4">
                            <w:rPr>
                              <w:rStyle w:val="Hyperlink"/>
                              <w:b/>
                              <w:bCs/>
                              <w:i/>
                              <w:iCs/>
                            </w:rPr>
                            <w:t>Asghari</w:t>
                          </w:r>
                          <w:proofErr w:type="spellEnd"/>
                          <w:r w:rsidRPr="00767EF4">
                            <w:rPr>
                              <w:rStyle w:val="Hyperlink"/>
                              <w:b/>
                              <w:bCs/>
                              <w:i/>
                              <w:iCs/>
                            </w:rPr>
                            <w:t>, and X. Emery</w:t>
                          </w:r>
                        </w:hyperlink>
                        <w:r w:rsidRPr="00767EF4">
                          <w:br/>
                          <w:t xml:space="preserve">Direct block-support sequential co-simulation was used to construct a set of alternative </w:t>
                        </w:r>
                        <w:r w:rsidRPr="00767EF4">
                          <w:lastRenderedPageBreak/>
                          <w:t>outcomes of the copper and molybdenum grades on block support over the deposit, with the aim of removing current limitations of conventional techniques for determining recoverable mineral resources.</w:t>
                        </w:r>
                        <w:r w:rsidRPr="00767EF4">
                          <w:br/>
                          <w:t> </w:t>
                        </w:r>
                        <w:r w:rsidRPr="00767EF4">
                          <w:br/>
                        </w:r>
                        <w:hyperlink r:id="rId29" w:history="1">
                          <w:r w:rsidRPr="00767EF4">
                            <w:rPr>
                              <w:rStyle w:val="Hyperlink"/>
                              <w:b/>
                              <w:bCs/>
                            </w:rPr>
                            <w:t>The needle penetration test for predicting coal strength</w:t>
                          </w:r>
                        </w:hyperlink>
                        <w:r w:rsidRPr="00767EF4">
                          <w:rPr>
                            <w:b/>
                            <w:bCs/>
                          </w:rPr>
                          <w:br/>
                        </w:r>
                        <w:hyperlink r:id="rId30" w:history="1">
                          <w:r w:rsidRPr="00767EF4">
                            <w:rPr>
                              <w:rStyle w:val="Hyperlink"/>
                              <w:b/>
                              <w:bCs/>
                              <w:i/>
                              <w:iCs/>
                            </w:rPr>
                            <w:t xml:space="preserve">By S. </w:t>
                          </w:r>
                          <w:proofErr w:type="spellStart"/>
                          <w:r w:rsidRPr="00767EF4">
                            <w:rPr>
                              <w:rStyle w:val="Hyperlink"/>
                              <w:b/>
                              <w:bCs/>
                              <w:i/>
                              <w:iCs/>
                            </w:rPr>
                            <w:t>Kahraman</w:t>
                          </w:r>
                          <w:proofErr w:type="spellEnd"/>
                          <w:r w:rsidRPr="00767EF4">
                            <w:rPr>
                              <w:rStyle w:val="Hyperlink"/>
                              <w:b/>
                              <w:bCs/>
                              <w:i/>
                              <w:iCs/>
                            </w:rPr>
                            <w:t xml:space="preserve">, A.S. </w:t>
                          </w:r>
                          <w:proofErr w:type="spellStart"/>
                          <w:r w:rsidRPr="00767EF4">
                            <w:rPr>
                              <w:rStyle w:val="Hyperlink"/>
                              <w:b/>
                              <w:bCs/>
                              <w:i/>
                              <w:iCs/>
                            </w:rPr>
                            <w:t>Aloglu</w:t>
                          </w:r>
                          <w:proofErr w:type="spellEnd"/>
                          <w:r w:rsidRPr="00767EF4">
                            <w:rPr>
                              <w:rStyle w:val="Hyperlink"/>
                              <w:b/>
                              <w:bCs/>
                              <w:i/>
                              <w:iCs/>
                            </w:rPr>
                            <w:t xml:space="preserve">, B. Aydin, and E. </w:t>
                          </w:r>
                          <w:proofErr w:type="spellStart"/>
                          <w:r w:rsidRPr="00767EF4">
                            <w:rPr>
                              <w:rStyle w:val="Hyperlink"/>
                              <w:b/>
                              <w:bCs/>
                              <w:i/>
                              <w:iCs/>
                            </w:rPr>
                            <w:t>Saygin</w:t>
                          </w:r>
                          <w:proofErr w:type="spellEnd"/>
                        </w:hyperlink>
                        <w:r w:rsidRPr="00767EF4">
                          <w:br/>
                          <w:t>Point load and the needle penetration index (NPI) tests were carried out on coal specimens. The point load indexes were converted to uniaxial compressive strength (UCS) values, and the UCS and NPI values evaluated using regression analysis. A strong linear relationship was found between the two parameters, indicating that the UCS</w:t>
                        </w:r>
                        <w:proofErr w:type="gramStart"/>
                        <w:r w:rsidRPr="00767EF4">
                          <w:t>  of</w:t>
                        </w:r>
                        <w:proofErr w:type="gramEnd"/>
                        <w:r w:rsidRPr="00767EF4">
                          <w:t xml:space="preserve"> the coal can be predicted from the NPI.</w:t>
                        </w:r>
                        <w:r w:rsidRPr="00767EF4">
                          <w:br/>
                          <w:t> </w:t>
                        </w:r>
                        <w:r w:rsidRPr="00767EF4">
                          <w:br/>
                        </w:r>
                        <w:hyperlink r:id="rId31" w:history="1">
                          <w:r w:rsidRPr="00767EF4">
                            <w:rPr>
                              <w:rStyle w:val="Hyperlink"/>
                              <w:b/>
                              <w:bCs/>
                            </w:rPr>
                            <w:t xml:space="preserve">Synthesis of 3-hydroxy-2-naphthyl </w:t>
                          </w:r>
                          <w:proofErr w:type="spellStart"/>
                          <w:r w:rsidRPr="00767EF4">
                            <w:rPr>
                              <w:rStyle w:val="Hyperlink"/>
                              <w:b/>
                              <w:bCs/>
                            </w:rPr>
                            <w:t>hydroxamic</w:t>
                          </w:r>
                          <w:proofErr w:type="spellEnd"/>
                          <w:r w:rsidRPr="00767EF4">
                            <w:rPr>
                              <w:rStyle w:val="Hyperlink"/>
                              <w:b/>
                              <w:bCs/>
                            </w:rPr>
                            <w:t xml:space="preserve"> acid collector: flotation performance and adsorption mechanism on </w:t>
                          </w:r>
                          <w:proofErr w:type="spellStart"/>
                          <w:r w:rsidRPr="00767EF4">
                            <w:rPr>
                              <w:rStyle w:val="Hyperlink"/>
                              <w:b/>
                              <w:bCs/>
                            </w:rPr>
                            <w:t>bastnaesite</w:t>
                          </w:r>
                          <w:proofErr w:type="spellEnd"/>
                        </w:hyperlink>
                        <w:r w:rsidRPr="00767EF4">
                          <w:rPr>
                            <w:b/>
                            <w:bCs/>
                          </w:rPr>
                          <w:br/>
                        </w:r>
                        <w:hyperlink r:id="rId32" w:history="1">
                          <w:r w:rsidRPr="00767EF4">
                            <w:rPr>
                              <w:rStyle w:val="Hyperlink"/>
                              <w:b/>
                              <w:bCs/>
                              <w:i/>
                              <w:iCs/>
                            </w:rPr>
                            <w:t xml:space="preserve">By Z. Yang, W. Wu, and X. </w:t>
                          </w:r>
                          <w:proofErr w:type="spellStart"/>
                          <w:r w:rsidRPr="00767EF4">
                            <w:rPr>
                              <w:rStyle w:val="Hyperlink"/>
                              <w:b/>
                              <w:bCs/>
                              <w:i/>
                              <w:iCs/>
                            </w:rPr>
                            <w:t>Bian</w:t>
                          </w:r>
                          <w:proofErr w:type="spellEnd"/>
                        </w:hyperlink>
                        <w:r w:rsidRPr="00767EF4">
                          <w:br/>
                          <w:t xml:space="preserve">3-hydroxy-2-naphthyl </w:t>
                        </w:r>
                        <w:proofErr w:type="spellStart"/>
                        <w:r w:rsidRPr="00767EF4">
                          <w:t>hydroxamic</w:t>
                        </w:r>
                        <w:proofErr w:type="spellEnd"/>
                        <w:r w:rsidRPr="00767EF4">
                          <w:t xml:space="preserve"> acid (H2O5) was synthesised and its efficiency as a collector for </w:t>
                        </w:r>
                        <w:proofErr w:type="spellStart"/>
                        <w:r w:rsidRPr="00767EF4">
                          <w:t>bastnaesite</w:t>
                        </w:r>
                        <w:proofErr w:type="spellEnd"/>
                        <w:r w:rsidRPr="00767EF4">
                          <w:t xml:space="preserve"> investigated. H2O5 was found to exhibit a superior collecting performance compared with direct flotation recovery of </w:t>
                        </w:r>
                        <w:proofErr w:type="spellStart"/>
                        <w:r w:rsidRPr="00767EF4">
                          <w:t>bastnaesite</w:t>
                        </w:r>
                        <w:proofErr w:type="spellEnd"/>
                        <w:r w:rsidRPr="00767EF4">
                          <w:t xml:space="preserve">. The adsorption of H2O5 was associated with the types and concentrations of hydrolysis products of rare earth cations on the surface of </w:t>
                        </w:r>
                        <w:proofErr w:type="spellStart"/>
                        <w:r w:rsidRPr="00767EF4">
                          <w:t>bastnaesite</w:t>
                        </w:r>
                        <w:proofErr w:type="spellEnd"/>
                        <w:r w:rsidRPr="00767EF4">
                          <w:t>.</w:t>
                        </w:r>
                        <w:r w:rsidRPr="00767EF4">
                          <w:br/>
                          <w:t> </w:t>
                        </w:r>
                        <w:r w:rsidRPr="00767EF4">
                          <w:br/>
                        </w:r>
                        <w:hyperlink r:id="rId33" w:history="1">
                          <w:r w:rsidRPr="00767EF4">
                            <w:rPr>
                              <w:rStyle w:val="Hyperlink"/>
                              <w:b/>
                              <w:bCs/>
                            </w:rPr>
                            <w:t>In-pit crusher location as a dynamic location problem</w:t>
                          </w:r>
                        </w:hyperlink>
                        <w:r w:rsidRPr="00767EF4">
                          <w:rPr>
                            <w:b/>
                            <w:bCs/>
                          </w:rPr>
                          <w:br/>
                        </w:r>
                        <w:hyperlink r:id="rId34" w:history="1">
                          <w:r w:rsidRPr="00767EF4">
                            <w:rPr>
                              <w:rStyle w:val="Hyperlink"/>
                              <w:b/>
                              <w:bCs/>
                              <w:i/>
                              <w:iCs/>
                            </w:rPr>
                            <w:t xml:space="preserve">By M. </w:t>
                          </w:r>
                          <w:proofErr w:type="spellStart"/>
                          <w:r w:rsidRPr="00767EF4">
                            <w:rPr>
                              <w:rStyle w:val="Hyperlink"/>
                              <w:b/>
                              <w:bCs/>
                              <w:i/>
                              <w:iCs/>
                            </w:rPr>
                            <w:t>Paricheh</w:t>
                          </w:r>
                          <w:proofErr w:type="spellEnd"/>
                          <w:r w:rsidRPr="00767EF4">
                            <w:rPr>
                              <w:rStyle w:val="Hyperlink"/>
                              <w:b/>
                              <w:bCs/>
                              <w:i/>
                              <w:iCs/>
                            </w:rPr>
                            <w:t xml:space="preserve">, M. </w:t>
                          </w:r>
                          <w:proofErr w:type="spellStart"/>
                          <w:r w:rsidRPr="00767EF4">
                            <w:rPr>
                              <w:rStyle w:val="Hyperlink"/>
                              <w:b/>
                              <w:bCs/>
                              <w:i/>
                              <w:iCs/>
                            </w:rPr>
                            <w:t>Osanloo</w:t>
                          </w:r>
                          <w:proofErr w:type="spellEnd"/>
                          <w:r w:rsidRPr="00767EF4">
                            <w:rPr>
                              <w:rStyle w:val="Hyperlink"/>
                              <w:b/>
                              <w:bCs/>
                              <w:i/>
                              <w:iCs/>
                            </w:rPr>
                            <w:t xml:space="preserve">, and M. </w:t>
                          </w:r>
                          <w:proofErr w:type="spellStart"/>
                          <w:r w:rsidRPr="00767EF4">
                            <w:rPr>
                              <w:rStyle w:val="Hyperlink"/>
                              <w:b/>
                              <w:bCs/>
                              <w:i/>
                              <w:iCs/>
                            </w:rPr>
                            <w:t>Rahmanpour</w:t>
                          </w:r>
                          <w:proofErr w:type="spellEnd"/>
                        </w:hyperlink>
                        <w:r w:rsidRPr="00767EF4">
                          <w:br/>
                          <w:t xml:space="preserve">The main parameters affecting the location of an in-pit crushing and conveying (IPCC) system are reviewed and examples given of how they are applied to the problem of a dynamic location-relocation exercise. A facility location model was developed and is implemented for the </w:t>
                        </w:r>
                        <w:proofErr w:type="spellStart"/>
                        <w:r w:rsidRPr="00767EF4">
                          <w:t>Sungun</w:t>
                        </w:r>
                        <w:proofErr w:type="spellEnd"/>
                        <w:r w:rsidRPr="00767EF4">
                          <w:t xml:space="preserve"> copper mine in Iran, and the number and the exact times of relocations of the IPCC units determined.</w:t>
                        </w:r>
                      </w:p>
                    </w:tc>
                    <w:tc>
                      <w:tcPr>
                        <w:tcW w:w="6" w:type="dxa"/>
                        <w:hideMark/>
                      </w:tcPr>
                      <w:p w:rsidR="00767EF4" w:rsidRPr="00767EF4" w:rsidRDefault="00767EF4" w:rsidP="00767EF4"/>
                    </w:tc>
                  </w:tr>
                </w:tbl>
                <w:p w:rsidR="00767EF4" w:rsidRPr="00767EF4" w:rsidRDefault="00767EF4" w:rsidP="00767EF4"/>
              </w:tc>
            </w:tr>
          </w:tbl>
          <w:p w:rsidR="00767EF4" w:rsidRPr="00767EF4" w:rsidRDefault="00767EF4" w:rsidP="00767EF4">
            <w:pPr>
              <w:rPr>
                <w:vanish/>
              </w:rPr>
            </w:pPr>
          </w:p>
          <w:tbl>
            <w:tblPr>
              <w:tblW w:w="5000" w:type="pct"/>
              <w:jc w:val="center"/>
              <w:tblCellMar>
                <w:left w:w="0" w:type="dxa"/>
                <w:right w:w="0" w:type="dxa"/>
              </w:tblCellMar>
              <w:tblLook w:val="04A0" w:firstRow="1" w:lastRow="0" w:firstColumn="1" w:lastColumn="0" w:noHBand="0" w:noVBand="1"/>
            </w:tblPr>
            <w:tblGrid>
              <w:gridCol w:w="9018"/>
            </w:tblGrid>
            <w:tr w:rsidR="00767EF4" w:rsidRPr="00767EF4">
              <w:trPr>
                <w:jc w:val="center"/>
              </w:trPr>
              <w:tc>
                <w:tcPr>
                  <w:tcW w:w="0" w:type="auto"/>
                  <w:tcMar>
                    <w:top w:w="150" w:type="dxa"/>
                    <w:left w:w="0" w:type="dxa"/>
                    <w:bottom w:w="0" w:type="dxa"/>
                    <w:right w:w="0" w:type="dxa"/>
                  </w:tcMar>
                  <w:hideMark/>
                </w:tcPr>
                <w:tbl>
                  <w:tblPr>
                    <w:tblW w:w="8700" w:type="dxa"/>
                    <w:jc w:val="center"/>
                    <w:tblCellMar>
                      <w:left w:w="0" w:type="dxa"/>
                      <w:right w:w="0" w:type="dxa"/>
                    </w:tblCellMar>
                    <w:tblLook w:val="04A0" w:firstRow="1" w:lastRow="0" w:firstColumn="1" w:lastColumn="0" w:noHBand="0" w:noVBand="1"/>
                  </w:tblPr>
                  <w:tblGrid>
                    <w:gridCol w:w="8694"/>
                    <w:gridCol w:w="6"/>
                  </w:tblGrid>
                  <w:tr w:rsidR="00767EF4" w:rsidRPr="00767EF4">
                    <w:trPr>
                      <w:jc w:val="center"/>
                    </w:trPr>
                    <w:tc>
                      <w:tcPr>
                        <w:tcW w:w="0" w:type="auto"/>
                        <w:tcMar>
                          <w:top w:w="150" w:type="dxa"/>
                          <w:left w:w="0" w:type="dxa"/>
                          <w:bottom w:w="150" w:type="dxa"/>
                          <w:right w:w="0" w:type="dxa"/>
                        </w:tcMar>
                        <w:hideMark/>
                      </w:tcPr>
                      <w:tbl>
                        <w:tblPr>
                          <w:tblW w:w="5000" w:type="pct"/>
                          <w:jc w:val="center"/>
                          <w:tblBorders>
                            <w:top w:val="single" w:sz="6" w:space="0" w:color="999999"/>
                          </w:tblBorders>
                          <w:tblCellMar>
                            <w:left w:w="0" w:type="dxa"/>
                            <w:right w:w="0" w:type="dxa"/>
                          </w:tblCellMar>
                          <w:tblLook w:val="04A0" w:firstRow="1" w:lastRow="0" w:firstColumn="1" w:lastColumn="0" w:noHBand="0" w:noVBand="1"/>
                        </w:tblPr>
                        <w:tblGrid>
                          <w:gridCol w:w="8694"/>
                        </w:tblGrid>
                        <w:tr w:rsidR="00767EF4" w:rsidRPr="00767EF4">
                          <w:trPr>
                            <w:jc w:val="center"/>
                          </w:trPr>
                          <w:tc>
                            <w:tcPr>
                              <w:tcW w:w="0" w:type="auto"/>
                              <w:tcBorders>
                                <w:top w:val="single" w:sz="6" w:space="0" w:color="999999"/>
                                <w:left w:val="nil"/>
                                <w:bottom w:val="nil"/>
                                <w:right w:val="nil"/>
                              </w:tcBorders>
                              <w:hideMark/>
                            </w:tcPr>
                            <w:p w:rsidR="00767EF4" w:rsidRPr="00767EF4" w:rsidRDefault="00767EF4" w:rsidP="00767EF4">
                              <w:r w:rsidRPr="00767EF4">
                                <w:t> </w:t>
                              </w:r>
                            </w:p>
                          </w:tc>
                        </w:tr>
                      </w:tbl>
                      <w:p w:rsidR="00767EF4" w:rsidRPr="00767EF4" w:rsidRDefault="00767EF4" w:rsidP="00767EF4"/>
                    </w:tc>
                    <w:tc>
                      <w:tcPr>
                        <w:tcW w:w="6" w:type="dxa"/>
                        <w:hideMark/>
                      </w:tcPr>
                      <w:p w:rsidR="00767EF4" w:rsidRPr="00767EF4" w:rsidRDefault="00767EF4" w:rsidP="00767EF4"/>
                    </w:tc>
                  </w:tr>
                </w:tbl>
                <w:p w:rsidR="00767EF4" w:rsidRPr="00767EF4" w:rsidRDefault="00767EF4" w:rsidP="00767EF4"/>
              </w:tc>
            </w:tr>
          </w:tbl>
          <w:p w:rsidR="00767EF4" w:rsidRPr="00767EF4" w:rsidRDefault="00767EF4" w:rsidP="00767EF4">
            <w:pPr>
              <w:rPr>
                <w:vanish/>
              </w:rPr>
            </w:pPr>
          </w:p>
          <w:tbl>
            <w:tblPr>
              <w:tblW w:w="5000" w:type="pct"/>
              <w:jc w:val="center"/>
              <w:tblCellMar>
                <w:left w:w="0" w:type="dxa"/>
                <w:right w:w="0" w:type="dxa"/>
              </w:tblCellMar>
              <w:tblLook w:val="04A0" w:firstRow="1" w:lastRow="0" w:firstColumn="1" w:lastColumn="0" w:noHBand="0" w:noVBand="1"/>
            </w:tblPr>
            <w:tblGrid>
              <w:gridCol w:w="9018"/>
            </w:tblGrid>
            <w:tr w:rsidR="00767EF4" w:rsidRPr="00767EF4">
              <w:trPr>
                <w:jc w:val="center"/>
              </w:trPr>
              <w:tc>
                <w:tcPr>
                  <w:tcW w:w="0" w:type="auto"/>
                  <w:tcMar>
                    <w:top w:w="150" w:type="dxa"/>
                    <w:left w:w="0" w:type="dxa"/>
                    <w:bottom w:w="0" w:type="dxa"/>
                    <w:right w:w="0" w:type="dxa"/>
                  </w:tcMar>
                  <w:hideMark/>
                </w:tcPr>
                <w:tbl>
                  <w:tblPr>
                    <w:tblW w:w="8700" w:type="dxa"/>
                    <w:jc w:val="center"/>
                    <w:tblCellMar>
                      <w:left w:w="0" w:type="dxa"/>
                      <w:right w:w="0" w:type="dxa"/>
                    </w:tblCellMar>
                    <w:tblLook w:val="04A0" w:firstRow="1" w:lastRow="0" w:firstColumn="1" w:lastColumn="0" w:noHBand="0" w:noVBand="1"/>
                  </w:tblPr>
                  <w:tblGrid>
                    <w:gridCol w:w="8694"/>
                    <w:gridCol w:w="6"/>
                  </w:tblGrid>
                  <w:tr w:rsidR="00767EF4" w:rsidRPr="00767EF4">
                    <w:trPr>
                      <w:jc w:val="center"/>
                    </w:trPr>
                    <w:tc>
                      <w:tcPr>
                        <w:tcW w:w="0" w:type="auto"/>
                        <w:tcMar>
                          <w:top w:w="150" w:type="dxa"/>
                          <w:left w:w="150" w:type="dxa"/>
                          <w:bottom w:w="150" w:type="dxa"/>
                          <w:right w:w="150" w:type="dxa"/>
                        </w:tcMar>
                        <w:hideMark/>
                      </w:tcPr>
                      <w:p w:rsidR="00767EF4" w:rsidRPr="00767EF4" w:rsidRDefault="00767EF4" w:rsidP="00767EF4">
                        <w:r w:rsidRPr="00767EF4">
                          <w:t>For more information regarding the SAIMM Journal please contact:</w:t>
                        </w:r>
                        <w:r w:rsidRPr="00767EF4">
                          <w:br/>
                          <w:t> </w:t>
                        </w:r>
                        <w:r w:rsidRPr="00767EF4">
                          <w:br/>
                        </w:r>
                        <w:r w:rsidRPr="00767EF4">
                          <w:rPr>
                            <w:b/>
                            <w:bCs/>
                          </w:rPr>
                          <w:t xml:space="preserve">Kelly </w:t>
                        </w:r>
                        <w:proofErr w:type="spellStart"/>
                        <w:r w:rsidRPr="00767EF4">
                          <w:rPr>
                            <w:b/>
                            <w:bCs/>
                          </w:rPr>
                          <w:t>Matthee</w:t>
                        </w:r>
                        <w:proofErr w:type="spellEnd"/>
                        <w:r w:rsidRPr="00767EF4">
                          <w:br/>
                          <w:t>Journal Co-Ordinator</w:t>
                        </w:r>
                        <w:r w:rsidRPr="00767EF4">
                          <w:br/>
                          <w:t>Telephone: +27 11 834 1273  l  Facsimile: 086 585 2901</w:t>
                        </w:r>
                        <w:r w:rsidRPr="00767EF4">
                          <w:br/>
                          <w:t xml:space="preserve">E-mail: </w:t>
                        </w:r>
                        <w:hyperlink r:id="rId35" w:history="1">
                          <w:r w:rsidRPr="00767EF4">
                            <w:rPr>
                              <w:rStyle w:val="Hyperlink"/>
                            </w:rPr>
                            <w:t>kelly@saimm.co.za</w:t>
                          </w:r>
                        </w:hyperlink>
                        <w:r w:rsidRPr="00767EF4">
                          <w:t xml:space="preserve"> l  Website: </w:t>
                        </w:r>
                        <w:hyperlink r:id="rId36" w:history="1">
                          <w:r w:rsidRPr="00767EF4">
                            <w:rPr>
                              <w:rStyle w:val="Hyperlink"/>
                            </w:rPr>
                            <w:t>www.saimm.co.za</w:t>
                          </w:r>
                        </w:hyperlink>
                      </w:p>
                    </w:tc>
                    <w:tc>
                      <w:tcPr>
                        <w:tcW w:w="6" w:type="dxa"/>
                        <w:hideMark/>
                      </w:tcPr>
                      <w:p w:rsidR="00767EF4" w:rsidRPr="00767EF4" w:rsidRDefault="00767EF4" w:rsidP="00767EF4"/>
                    </w:tc>
                  </w:tr>
                </w:tbl>
                <w:p w:rsidR="00767EF4" w:rsidRPr="00767EF4" w:rsidRDefault="00767EF4" w:rsidP="00767EF4"/>
              </w:tc>
            </w:tr>
          </w:tbl>
          <w:p w:rsidR="00767EF4" w:rsidRPr="00767EF4" w:rsidRDefault="00767EF4" w:rsidP="00767EF4">
            <w:pPr>
              <w:rPr>
                <w:vanish/>
              </w:rPr>
            </w:pPr>
          </w:p>
          <w:tbl>
            <w:tblPr>
              <w:tblW w:w="5000" w:type="pct"/>
              <w:jc w:val="center"/>
              <w:tblCellMar>
                <w:left w:w="0" w:type="dxa"/>
                <w:right w:w="0" w:type="dxa"/>
              </w:tblCellMar>
              <w:tblLook w:val="04A0" w:firstRow="1" w:lastRow="0" w:firstColumn="1" w:lastColumn="0" w:noHBand="0" w:noVBand="1"/>
            </w:tblPr>
            <w:tblGrid>
              <w:gridCol w:w="3109"/>
              <w:gridCol w:w="3110"/>
              <w:gridCol w:w="2799"/>
            </w:tblGrid>
            <w:tr w:rsidR="00767EF4" w:rsidRPr="00767EF4">
              <w:trPr>
                <w:jc w:val="center"/>
              </w:trPr>
              <w:tc>
                <w:tcPr>
                  <w:tcW w:w="0" w:type="auto"/>
                  <w:tcMar>
                    <w:top w:w="150" w:type="dxa"/>
                    <w:left w:w="0" w:type="dxa"/>
                    <w:bottom w:w="0" w:type="dxa"/>
                    <w:right w:w="300" w:type="dxa"/>
                  </w:tcMar>
                  <w:hideMark/>
                </w:tcPr>
                <w:tbl>
                  <w:tblPr>
                    <w:tblW w:w="2700" w:type="dxa"/>
                    <w:jc w:val="center"/>
                    <w:tblCellMar>
                      <w:left w:w="0" w:type="dxa"/>
                      <w:right w:w="0" w:type="dxa"/>
                    </w:tblCellMar>
                    <w:tblLook w:val="04A0" w:firstRow="1" w:lastRow="0" w:firstColumn="1" w:lastColumn="0" w:noHBand="0" w:noVBand="1"/>
                  </w:tblPr>
                  <w:tblGrid>
                    <w:gridCol w:w="2700"/>
                  </w:tblGrid>
                  <w:tr w:rsidR="00767EF4" w:rsidRPr="00767EF4">
                    <w:trPr>
                      <w:jc w:val="center"/>
                    </w:trPr>
                    <w:tc>
                      <w:tcPr>
                        <w:tcW w:w="0" w:type="auto"/>
                        <w:tcMar>
                          <w:top w:w="0" w:type="dxa"/>
                          <w:left w:w="0" w:type="dxa"/>
                          <w:bottom w:w="150" w:type="dxa"/>
                          <w:right w:w="0" w:type="dxa"/>
                        </w:tcMar>
                        <w:hideMark/>
                      </w:tcPr>
                      <w:p w:rsidR="00767EF4" w:rsidRPr="00767EF4" w:rsidRDefault="00767EF4" w:rsidP="00767EF4"/>
                    </w:tc>
                  </w:tr>
                </w:tbl>
                <w:p w:rsidR="00767EF4" w:rsidRPr="00767EF4" w:rsidRDefault="00767EF4" w:rsidP="00767EF4"/>
              </w:tc>
              <w:tc>
                <w:tcPr>
                  <w:tcW w:w="0" w:type="auto"/>
                  <w:tcMar>
                    <w:top w:w="150" w:type="dxa"/>
                    <w:left w:w="0" w:type="dxa"/>
                    <w:bottom w:w="0" w:type="dxa"/>
                    <w:right w:w="300" w:type="dxa"/>
                  </w:tcMar>
                  <w:hideMark/>
                </w:tcPr>
                <w:tbl>
                  <w:tblPr>
                    <w:tblW w:w="2700" w:type="dxa"/>
                    <w:jc w:val="center"/>
                    <w:tblCellMar>
                      <w:left w:w="0" w:type="dxa"/>
                      <w:right w:w="0" w:type="dxa"/>
                    </w:tblCellMar>
                    <w:tblLook w:val="04A0" w:firstRow="1" w:lastRow="0" w:firstColumn="1" w:lastColumn="0" w:noHBand="0" w:noVBand="1"/>
                  </w:tblPr>
                  <w:tblGrid>
                    <w:gridCol w:w="900"/>
                    <w:gridCol w:w="900"/>
                    <w:gridCol w:w="900"/>
                  </w:tblGrid>
                  <w:tr w:rsidR="00767EF4" w:rsidRPr="00767EF4">
                    <w:trPr>
                      <w:jc w:val="center"/>
                    </w:trPr>
                    <w:tc>
                      <w:tcPr>
                        <w:tcW w:w="1250" w:type="pct"/>
                        <w:tcMar>
                          <w:top w:w="0" w:type="dxa"/>
                          <w:left w:w="0" w:type="dxa"/>
                          <w:bottom w:w="150" w:type="dxa"/>
                          <w:right w:w="150" w:type="dxa"/>
                        </w:tcMar>
                        <w:hideMark/>
                      </w:tcPr>
                      <w:p w:rsidR="00767EF4" w:rsidRPr="00767EF4" w:rsidRDefault="00767EF4" w:rsidP="00767EF4">
                        <w:r w:rsidRPr="00767EF4">
                          <w:drawing>
                            <wp:inline distT="0" distB="0" distL="0" distR="0">
                              <wp:extent cx="304800" cy="304800"/>
                              <wp:effectExtent l="0" t="0" r="0" b="0"/>
                              <wp:docPr id="9" name="Picture 9" descr="1495046882_square-twitter.png">
                                <a:hlinkClick xmlns:a="http://schemas.openxmlformats.org/drawingml/2006/main" r:id="rId37" tgtFrame="_blank" tooltip="1495046882_square-twitter.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495046882_square-twitter.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250" w:type="pct"/>
                        <w:tcMar>
                          <w:top w:w="0" w:type="dxa"/>
                          <w:left w:w="0" w:type="dxa"/>
                          <w:bottom w:w="150" w:type="dxa"/>
                          <w:right w:w="150" w:type="dxa"/>
                        </w:tcMar>
                        <w:hideMark/>
                      </w:tcPr>
                      <w:p w:rsidR="00767EF4" w:rsidRPr="00767EF4" w:rsidRDefault="00767EF4" w:rsidP="00767EF4">
                        <w:r w:rsidRPr="00767EF4">
                          <w:drawing>
                            <wp:inline distT="0" distB="0" distL="0" distR="0">
                              <wp:extent cx="304800" cy="304800"/>
                              <wp:effectExtent l="0" t="0" r="0" b="0"/>
                              <wp:docPr id="8" name="Picture 8" descr="1495046880_square-facebook.png">
                                <a:hlinkClick xmlns:a="http://schemas.openxmlformats.org/drawingml/2006/main" r:id="rId39" tgtFrame="_blank" tooltip="1495046880_square-facebook.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495046880_square-facebook.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250" w:type="pct"/>
                        <w:tcMar>
                          <w:top w:w="0" w:type="dxa"/>
                          <w:left w:w="0" w:type="dxa"/>
                          <w:bottom w:w="150" w:type="dxa"/>
                          <w:right w:w="150" w:type="dxa"/>
                        </w:tcMar>
                        <w:hideMark/>
                      </w:tcPr>
                      <w:p w:rsidR="00767EF4" w:rsidRPr="00767EF4" w:rsidRDefault="00767EF4" w:rsidP="00767EF4">
                        <w:r w:rsidRPr="00767EF4">
                          <w:drawing>
                            <wp:inline distT="0" distB="0" distL="0" distR="0">
                              <wp:extent cx="304800" cy="304800"/>
                              <wp:effectExtent l="0" t="0" r="0" b="0"/>
                              <wp:docPr id="7" name="Picture 7" descr="1495046889_linkedin.png">
                                <a:hlinkClick xmlns:a="http://schemas.openxmlformats.org/drawingml/2006/main" r:id="rId41" tgtFrame="_blank" tooltip="1495046889_linkedin.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495046889_linkedin.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767EF4" w:rsidRPr="00767EF4" w:rsidRDefault="00767EF4" w:rsidP="00767EF4"/>
              </w:tc>
              <w:tc>
                <w:tcPr>
                  <w:tcW w:w="0" w:type="auto"/>
                  <w:tcMar>
                    <w:top w:w="150" w:type="dxa"/>
                    <w:left w:w="0" w:type="dxa"/>
                    <w:bottom w:w="0" w:type="dxa"/>
                    <w:right w:w="0" w:type="dxa"/>
                  </w:tcMar>
                  <w:hideMark/>
                </w:tcPr>
                <w:tbl>
                  <w:tblPr>
                    <w:tblW w:w="2700" w:type="dxa"/>
                    <w:jc w:val="center"/>
                    <w:tblCellMar>
                      <w:left w:w="0" w:type="dxa"/>
                      <w:right w:w="0" w:type="dxa"/>
                    </w:tblCellMar>
                    <w:tblLook w:val="04A0" w:firstRow="1" w:lastRow="0" w:firstColumn="1" w:lastColumn="0" w:noHBand="0" w:noVBand="1"/>
                  </w:tblPr>
                  <w:tblGrid>
                    <w:gridCol w:w="2700"/>
                  </w:tblGrid>
                  <w:tr w:rsidR="00767EF4" w:rsidRPr="00767EF4">
                    <w:trPr>
                      <w:jc w:val="center"/>
                    </w:trPr>
                    <w:tc>
                      <w:tcPr>
                        <w:tcW w:w="0" w:type="auto"/>
                        <w:tcMar>
                          <w:top w:w="0" w:type="dxa"/>
                          <w:left w:w="0" w:type="dxa"/>
                          <w:bottom w:w="150" w:type="dxa"/>
                          <w:right w:w="0" w:type="dxa"/>
                        </w:tcMar>
                        <w:hideMark/>
                      </w:tcPr>
                      <w:p w:rsidR="00767EF4" w:rsidRPr="00767EF4" w:rsidRDefault="00767EF4" w:rsidP="00767EF4"/>
                    </w:tc>
                  </w:tr>
                </w:tbl>
                <w:p w:rsidR="00767EF4" w:rsidRPr="00767EF4" w:rsidRDefault="00767EF4" w:rsidP="00767EF4"/>
              </w:tc>
            </w:tr>
          </w:tbl>
          <w:p w:rsidR="00767EF4" w:rsidRPr="00767EF4" w:rsidRDefault="00767EF4" w:rsidP="00767EF4"/>
        </w:tc>
      </w:tr>
    </w:tbl>
    <w:p w:rsidR="00816D98" w:rsidRDefault="00816D98"/>
    <w:sectPr w:rsidR="00816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F4"/>
    <w:rsid w:val="00767EF4"/>
    <w:rsid w:val="00816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EF4"/>
    <w:rPr>
      <w:color w:val="0000FF" w:themeColor="hyperlink"/>
      <w:u w:val="single"/>
    </w:rPr>
  </w:style>
  <w:style w:type="paragraph" w:styleId="BalloonText">
    <w:name w:val="Balloon Text"/>
    <w:basedOn w:val="Normal"/>
    <w:link w:val="BalloonTextChar"/>
    <w:uiPriority w:val="99"/>
    <w:semiHidden/>
    <w:unhideWhenUsed/>
    <w:rsid w:val="00767E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EF4"/>
    <w:rPr>
      <w:color w:val="0000FF" w:themeColor="hyperlink"/>
      <w:u w:val="single"/>
    </w:rPr>
  </w:style>
  <w:style w:type="paragraph" w:styleId="BalloonText">
    <w:name w:val="Balloon Text"/>
    <w:basedOn w:val="Normal"/>
    <w:link w:val="BalloonTextChar"/>
    <w:uiPriority w:val="99"/>
    <w:semiHidden/>
    <w:unhideWhenUsed/>
    <w:rsid w:val="00767E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852455">
      <w:bodyDiv w:val="1"/>
      <w:marLeft w:val="0"/>
      <w:marRight w:val="0"/>
      <w:marTop w:val="0"/>
      <w:marBottom w:val="0"/>
      <w:divBdr>
        <w:top w:val="none" w:sz="0" w:space="0" w:color="auto"/>
        <w:left w:val="none" w:sz="0" w:space="0" w:color="auto"/>
        <w:bottom w:val="none" w:sz="0" w:space="0" w:color="auto"/>
        <w:right w:val="none" w:sz="0" w:space="0" w:color="auto"/>
      </w:divBdr>
    </w:div>
    <w:div w:id="18297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cations.saimm-mail.com/servlet/link/33595/223237/65918484/4104046" TargetMode="External"/><Relationship Id="rId13" Type="http://schemas.openxmlformats.org/officeDocument/2006/relationships/hyperlink" Target="http://communications.saimm-mail.com/servlet/link/33595/223237/65918484/4104050" TargetMode="External"/><Relationship Id="rId18" Type="http://schemas.openxmlformats.org/officeDocument/2006/relationships/hyperlink" Target="http://communications.saimm-mail.com/servlet/link/33595/223237/65918484/4104055" TargetMode="External"/><Relationship Id="rId26" Type="http://schemas.openxmlformats.org/officeDocument/2006/relationships/hyperlink" Target="http://communications.saimm-mail.com/servlet/link/33595/223237/65918484/4104063" TargetMode="External"/><Relationship Id="rId39" Type="http://schemas.openxmlformats.org/officeDocument/2006/relationships/hyperlink" Target="http://communications.saimm-mail.com/servlet/link/33595/223237/65918484/4104073" TargetMode="External"/><Relationship Id="rId3" Type="http://schemas.openxmlformats.org/officeDocument/2006/relationships/settings" Target="settings.xml"/><Relationship Id="rId21" Type="http://schemas.openxmlformats.org/officeDocument/2006/relationships/hyperlink" Target="http://communications.saimm-mail.com/servlet/link/33595/223237/65918484/4104058" TargetMode="External"/><Relationship Id="rId34" Type="http://schemas.openxmlformats.org/officeDocument/2006/relationships/hyperlink" Target="http://communications.saimm-mail.com/servlet/link/33595/223237/65918484/4104071" TargetMode="External"/><Relationship Id="rId42"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communications.saimm-mail.com/servlet/link/33595/223237/65918484/4104054" TargetMode="External"/><Relationship Id="rId25" Type="http://schemas.openxmlformats.org/officeDocument/2006/relationships/hyperlink" Target="http://communications.saimm-mail.com/servlet/link/33595/223237/65918484/4104062" TargetMode="External"/><Relationship Id="rId33" Type="http://schemas.openxmlformats.org/officeDocument/2006/relationships/hyperlink" Target="http://communications.saimm-mail.com/servlet/link/33595/223237/65918484/4104070" TargetMode="External"/><Relationship Id="rId38"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hyperlink" Target="http://communications.saimm-mail.com/servlet/link/33595/223237/65918484/4104053" TargetMode="External"/><Relationship Id="rId20" Type="http://schemas.openxmlformats.org/officeDocument/2006/relationships/hyperlink" Target="http://communications.saimm-mail.com/servlet/link/33595/223237/65918484/4104057" TargetMode="External"/><Relationship Id="rId29" Type="http://schemas.openxmlformats.org/officeDocument/2006/relationships/hyperlink" Target="http://communications.saimm-mail.com/servlet/link/33595/223237/65918484/4104066" TargetMode="External"/><Relationship Id="rId41" Type="http://schemas.openxmlformats.org/officeDocument/2006/relationships/hyperlink" Target="http://communications.saimm-mail.com/servlet/link/33595/223237/65918484/4104074" TargetMode="External"/><Relationship Id="rId1" Type="http://schemas.openxmlformats.org/officeDocument/2006/relationships/styles" Target="styles.xml"/><Relationship Id="rId6" Type="http://schemas.openxmlformats.org/officeDocument/2006/relationships/hyperlink" Target="www.saimm.co.za" TargetMode="External"/><Relationship Id="rId11" Type="http://schemas.openxmlformats.org/officeDocument/2006/relationships/hyperlink" Target="http://communications.saimm-mail.com/servlet/link/33595/223237/65918484/4104049" TargetMode="External"/><Relationship Id="rId24" Type="http://schemas.openxmlformats.org/officeDocument/2006/relationships/hyperlink" Target="http://communications.saimm-mail.com/servlet/link/33595/223237/65918484/4104061" TargetMode="External"/><Relationship Id="rId32" Type="http://schemas.openxmlformats.org/officeDocument/2006/relationships/hyperlink" Target="http://communications.saimm-mail.com/servlet/link/33595/223237/65918484/4104069" TargetMode="External"/><Relationship Id="rId37" Type="http://schemas.openxmlformats.org/officeDocument/2006/relationships/hyperlink" Target="http://communications.saimm-mail.com/servlet/link/33595/223237/65918484/4104072" TargetMode="External"/><Relationship Id="rId40" Type="http://schemas.openxmlformats.org/officeDocument/2006/relationships/image" Target="media/image4.png"/><Relationship Id="rId5" Type="http://schemas.openxmlformats.org/officeDocument/2006/relationships/image" Target="http://communications.saimm-mail.com/s/r/33595/223237/65918484.gif?m=IVtTgjqvSfP9lKX3&amp;h=ca7580e5196222daf37a3c1bd2e3ace1" TargetMode="External"/><Relationship Id="rId15" Type="http://schemas.openxmlformats.org/officeDocument/2006/relationships/hyperlink" Target="http://communications.saimm-mail.com/servlet/link/33595/223237/65918484/4104052" TargetMode="External"/><Relationship Id="rId23" Type="http://schemas.openxmlformats.org/officeDocument/2006/relationships/hyperlink" Target="http://communications.saimm-mail.com/servlet/link/33595/223237/65918484/4104060" TargetMode="External"/><Relationship Id="rId28" Type="http://schemas.openxmlformats.org/officeDocument/2006/relationships/hyperlink" Target="http://communications.saimm-mail.com/servlet/link/33595/223237/65918484/4104065" TargetMode="External"/><Relationship Id="rId36" Type="http://schemas.openxmlformats.org/officeDocument/2006/relationships/hyperlink" Target="http://www.saimm.co.za" TargetMode="External"/><Relationship Id="rId10" Type="http://schemas.openxmlformats.org/officeDocument/2006/relationships/hyperlink" Target="http://communications.saimm-mail.com/servlet/link/33595/223237/65918484/4104048" TargetMode="External"/><Relationship Id="rId19" Type="http://schemas.openxmlformats.org/officeDocument/2006/relationships/hyperlink" Target="http://communications.saimm-mail.com/servlet/link/33595/223237/65918484/4104056" TargetMode="External"/><Relationship Id="rId31" Type="http://schemas.openxmlformats.org/officeDocument/2006/relationships/hyperlink" Target="http://communications.saimm-mail.com/servlet/link/33595/223237/65918484/410406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mmunications.saimm-mail.com/servlet/link/33595/223237/65918484/4104047" TargetMode="External"/><Relationship Id="rId14" Type="http://schemas.openxmlformats.org/officeDocument/2006/relationships/hyperlink" Target="http://communications.saimm-mail.com/servlet/link/33595/223237/65918484/4104051" TargetMode="External"/><Relationship Id="rId22" Type="http://schemas.openxmlformats.org/officeDocument/2006/relationships/hyperlink" Target="http://communications.saimm-mail.com/servlet/link/33595/223237/65918484/4104059" TargetMode="External"/><Relationship Id="rId27" Type="http://schemas.openxmlformats.org/officeDocument/2006/relationships/hyperlink" Target="http://communications.saimm-mail.com/servlet/link/33595/223237/65918484/4104064" TargetMode="External"/><Relationship Id="rId30" Type="http://schemas.openxmlformats.org/officeDocument/2006/relationships/hyperlink" Target="http://communications.saimm-mail.com/servlet/link/33595/223237/65918484/4104067" TargetMode="External"/><Relationship Id="rId35" Type="http://schemas.openxmlformats.org/officeDocument/2006/relationships/hyperlink" Target="mailto:kelly@saimm.co.za"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Krynauw</dc:creator>
  <cp:lastModifiedBy>Johan Krynauw</cp:lastModifiedBy>
  <cp:revision>1</cp:revision>
  <dcterms:created xsi:type="dcterms:W3CDTF">2017-07-04T13:07:00Z</dcterms:created>
  <dcterms:modified xsi:type="dcterms:W3CDTF">2017-07-04T13:08:00Z</dcterms:modified>
</cp:coreProperties>
</file>